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BF3670" w14:textId="322FA714" w:rsidR="00741F9C" w:rsidRPr="00741F9C" w:rsidRDefault="00741F9C" w:rsidP="00741F9C">
      <w:pPr>
        <w:spacing w:after="120" w:line="360" w:lineRule="auto"/>
        <w:ind w:left="567" w:right="777"/>
        <w:rPr>
          <w:rFonts w:ascii="Amazone Camingo Office" w:hAnsi="Amazone Camingo Office" w:cs="Arial"/>
          <w:b/>
          <w:bCs/>
          <w:sz w:val="28"/>
          <w:szCs w:val="28"/>
        </w:rPr>
      </w:pPr>
      <w:r>
        <w:rPr>
          <w:rFonts w:ascii="Amazone Camingo Office" w:hAnsi="Amazone Camingo Office"/>
          <w:b/>
          <w:sz w:val="28"/>
        </w:rPr>
        <w:t>AMAZONE ZG-TX: la actualización de la serie convierte a la esparcidora combinada en una solución aún más precisa y versátil</w:t>
      </w:r>
    </w:p>
    <w:p w14:paraId="4837BA74" w14:textId="7177BA7A" w:rsidR="00741F9C" w:rsidRPr="00741F9C" w:rsidRDefault="00741F9C" w:rsidP="00741F9C">
      <w:pPr>
        <w:spacing w:after="120" w:line="360" w:lineRule="auto"/>
        <w:ind w:left="567" w:right="1695"/>
        <w:rPr>
          <w:rFonts w:ascii="Amazone Camingo Office" w:eastAsia="Arial" w:hAnsi="Amazone Camingo Office" w:cs="Arial"/>
          <w:i/>
        </w:rPr>
      </w:pPr>
      <w:r>
        <w:rPr>
          <w:rFonts w:ascii="Amazone Camingo Office" w:hAnsi="Amazone Camingo Office"/>
          <w:i/>
        </w:rPr>
        <w:t>Las funciones avanzadas aumentan la precisión, la comodidad de uso y el espectro de aplicaciones</w:t>
      </w:r>
    </w:p>
    <w:p w14:paraId="03E2EDD1"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1338EA0C" w14:textId="2BF5257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Con una extensa actualización de la serie, AMAZONE amplía las posibilidades de uso de la esparcidora combinada ZG-TX. Las nuevas funciones, el sistema de pesaje integrado y la regulación automática de la cantidad FlowControl para cal aumentan la precisión a la vez que mejoran la comodidad de uso.</w:t>
      </w:r>
    </w:p>
    <w:p w14:paraId="09778AE8" w14:textId="1C6EC41F"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La AMAZONE ZG-TX se ha consolidado como una potente esparcidora combinada para la aplicación precisa de abono mineral y cal. Su equipamiento personalizado para cada aplicación, así como la posibilidad de aplicar los más diversos materiales de esparcimiento con gran precisión, la convierten en una solución versátil para explotaciones profesionales, contratistas y empresas de alquiler.</w:t>
      </w:r>
    </w:p>
    <w:p w14:paraId="4A1890C4" w14:textId="77777777"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Sistema de pesaje preciso para un mayor control durante el uso</w:t>
      </w:r>
    </w:p>
    <w:p w14:paraId="2B7688AB" w14:textId="3016E546"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Como novedad se ha puesto a disposición un sistema de pesaje integrado que permite una indicación precisa del nivel de llenado, al igual que una regulación sencilla fuera de línea de la cantidad de cal y abono mineral. El registro del peso tiene lugar mediante dos robustas células de pesaje situadas entre el eje y el bastidor, así como por un sensor adicional en el dispositivo de tracción. El peso se muestra de forma clara en el terminal de mando ISOBUS.</w:t>
      </w:r>
    </w:p>
    <w:p w14:paraId="7D65DD50" w14:textId="34D8CC3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En combinación con los faros de trabajo opcionales, el sistema de pesaje facilita la gestión del llenado. Una luz de trabajo intermitente indica el nivel de llenado del depósito y permite un llenado exacto hasta alcanzar el peso objetivo. De este modo, se pueden reducir las cantidades residuales y optimizar el proceso de trabajo.</w:t>
      </w:r>
    </w:p>
    <w:p w14:paraId="47E8340F" w14:textId="228EBFC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lastRenderedPageBreak/>
        <w:t>Gracias a la integración en el software ISOBUS, el sistema de pesaje permite, además, calibrar fácilmente las cantidades de cal y abono mineral. Tras aplicar una cantidad definida, se registra el peso en el depósito y, a partir de ahí, se calcula el factor de calibración. No es necesario determinar la densidad manualmente. De este modo, ahora es posible dosificar con precisión los más diversos materiales de esparcimiento.</w:t>
      </w:r>
    </w:p>
    <w:p w14:paraId="3221EFCD" w14:textId="416B318F" w:rsidR="00741F9C" w:rsidRPr="00741F9C" w:rsidRDefault="00523A08"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FlowControl para cal: regulación precisa de la cantidad mediante la medición del par</w:t>
      </w:r>
    </w:p>
    <w:p w14:paraId="5AF968D5" w14:textId="5EF7C66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Otro elemento clave de la actualización de la serie es la regulación automática de la cantidad FlowControl para cal. Gracias a unos sistemas de transmisión de nuevo desarrollo, la medición del par, ya conocida de la tecnología de abonado, puede emplearse ahora también en la aplicación de cal.</w:t>
      </w:r>
    </w:p>
    <w:p w14:paraId="2D3799A8" w14:textId="15E097BB" w:rsidR="00741F9C" w:rsidRPr="00741F9C" w:rsidRDefault="00270901" w:rsidP="00741F9C">
      <w:pPr>
        <w:spacing w:after="120" w:line="360" w:lineRule="auto"/>
        <w:ind w:left="567" w:right="1695"/>
        <w:rPr>
          <w:rFonts w:ascii="Amazone Camingo Office" w:eastAsia="Arial" w:hAnsi="Amazone Camingo Office" w:cs="Arial"/>
        </w:rPr>
      </w:pPr>
      <w:r>
        <w:rPr>
          <w:rFonts w:ascii="Amazone Camingo Office" w:hAnsi="Amazone Camingo Office"/>
        </w:rPr>
        <w:t>Se especifica la dosis de aplicación deseada, y FlowControl adapta la dosificación de forma automática y continua. De este modo, se consigue una gran precisión de aplicación, incluso en el caso de cal de calidades heterogéneas.</w:t>
      </w:r>
    </w:p>
    <w:p w14:paraId="490E998C" w14:textId="757CECDC"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Disponibilidad para diferentes ZG-TX </w:t>
      </w:r>
    </w:p>
    <w:p w14:paraId="50256FB1" w14:textId="56D79033"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Ambos sistemas ya están disponibles para todos los modelos de la ZG-TX con ISOBUS. Esto es válido tanto para la ZG-TX Super, con un peso máximo admisible de la máquina de 21 t, como para la ZG-TX Special, con 12,5 t.</w:t>
      </w:r>
    </w:p>
    <w:p w14:paraId="473ABF5A" w14:textId="0CE789FC"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Con la última actualización de la serie, la ZG-TX consolida su posición como esparcidora combinada multifuncional para las condiciones de uso más diversas. Los usuarios se benefician de una gran flexibilidad y, al mismo tiempo, de una aplicación precisa de los distintos materiales de esparcimiento.</w:t>
      </w:r>
    </w:p>
    <w:p w14:paraId="33CA2393" w14:textId="3D8ADC79" w:rsidR="007639FE" w:rsidRPr="00F23F25" w:rsidRDefault="007639FE" w:rsidP="004A4E71">
      <w:pPr>
        <w:spacing w:after="120" w:line="360" w:lineRule="auto"/>
        <w:ind w:left="567" w:right="1695"/>
        <w:rPr>
          <w:rFonts w:ascii="Amazone Camingo Office" w:hAnsi="Amazone Camingo Office" w:cs="Arial"/>
          <w:bCs/>
        </w:rPr>
      </w:pPr>
    </w:p>
    <w:p w14:paraId="6CC37E2A" w14:textId="3AAE4407" w:rsidR="00093638" w:rsidRDefault="00093638">
      <w:pPr>
        <w:rPr>
          <w:rFonts w:ascii="Amazone Camingo Office" w:hAnsi="Amazone Camingo Office" w:cs="Arial"/>
          <w:bCs/>
        </w:rPr>
      </w:pPr>
      <w:r>
        <w:br w:type="page"/>
      </w:r>
    </w:p>
    <w:p w14:paraId="235768FC" w14:textId="4FD77EB8" w:rsidR="004271A8" w:rsidRDefault="005F71EB" w:rsidP="007639FE">
      <w:pPr>
        <w:spacing w:after="120" w:line="360" w:lineRule="auto"/>
        <w:ind w:left="567" w:right="1695"/>
        <w:rPr>
          <w:rFonts w:ascii="Amazone Camingo Office" w:hAnsi="Amazone Camingo Office" w:cs="Arial"/>
          <w:bCs/>
        </w:rPr>
      </w:pPr>
      <w:r>
        <w:rPr>
          <w:rFonts w:ascii="Amazone Camingo Office" w:hAnsi="Amazone Camingo Office"/>
          <w:noProof/>
        </w:rPr>
        <w:lastRenderedPageBreak/>
        <w:drawing>
          <wp:inline distT="0" distB="0" distL="0" distR="0" wp14:anchorId="4EA03696" wp14:editId="46A56C40">
            <wp:extent cx="4572000" cy="3432092"/>
            <wp:effectExtent l="0" t="0" r="0" b="0"/>
            <wp:docPr id="2229274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32092"/>
                    </a:xfrm>
                    <a:prstGeom prst="rect">
                      <a:avLst/>
                    </a:prstGeom>
                    <a:noFill/>
                    <a:ln>
                      <a:noFill/>
                    </a:ln>
                  </pic:spPr>
                </pic:pic>
              </a:graphicData>
            </a:graphic>
          </wp:inline>
        </w:drawing>
      </w:r>
    </w:p>
    <w:p w14:paraId="7A766925" w14:textId="77777777" w:rsidR="00D70E29" w:rsidRDefault="004271A8" w:rsidP="00D70E29">
      <w:pPr>
        <w:spacing w:after="120" w:line="360" w:lineRule="auto"/>
        <w:ind w:left="567" w:right="1047"/>
        <w:rPr>
          <w:rFonts w:ascii="Amazone Camingo Office" w:hAnsi="Amazone Camingo Office"/>
        </w:rPr>
      </w:pPr>
      <w:r>
        <w:rPr>
          <w:rFonts w:ascii="Amazone Camingo Office" w:hAnsi="Amazone Camingo Office"/>
        </w:rPr>
        <w:t>La ZG-TX combina una tecnología versátil con una aplicación precisa. Las variantes de equipamiento van desde la sencilla esparcidora de cal hasta la esparcidora combinada totalmente equipada, que permite utilizar de forma flexible abono mineral y cal con una sola máquina.</w:t>
      </w:r>
    </w:p>
    <w:p w14:paraId="462D5D70" w14:textId="77777777" w:rsidR="00D70E29" w:rsidRDefault="00D70E29" w:rsidP="00D70E29">
      <w:pPr>
        <w:spacing w:after="120" w:line="360" w:lineRule="auto"/>
        <w:ind w:left="567" w:right="1047"/>
        <w:rPr>
          <w:rFonts w:ascii="Amazone Camingo Office" w:hAnsi="Amazone Camingo Office"/>
        </w:rPr>
      </w:pPr>
      <w:r>
        <w:rPr>
          <w:rFonts w:ascii="Amazone Camingo Office" w:hAnsi="Amazone Camingo Office" w:cs="Arial"/>
          <w:b/>
          <w:bCs/>
          <w:noProof/>
          <w:sz w:val="28"/>
          <w:szCs w:val="28"/>
        </w:rPr>
        <w:drawing>
          <wp:inline distT="0" distB="0" distL="0" distR="0" wp14:anchorId="22F5690A" wp14:editId="4B51F06F">
            <wp:extent cx="5029200" cy="2842040"/>
            <wp:effectExtent l="0" t="0" r="0" b="0"/>
            <wp:docPr id="4062605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69" t="12459" r="5141" b="13118"/>
                    <a:stretch>
                      <a:fillRect/>
                    </a:stretch>
                  </pic:blipFill>
                  <pic:spPr bwMode="auto">
                    <a:xfrm>
                      <a:off x="0" y="0"/>
                      <a:ext cx="5029200" cy="2842040"/>
                    </a:xfrm>
                    <a:prstGeom prst="rect">
                      <a:avLst/>
                    </a:prstGeom>
                    <a:noFill/>
                    <a:ln>
                      <a:noFill/>
                    </a:ln>
                    <a:extLst>
                      <a:ext uri="{53640926-AAD7-44D8-BBD7-CCE9431645EC}">
                        <a14:shadowObscured xmlns:a14="http://schemas.microsoft.com/office/drawing/2010/main"/>
                      </a:ext>
                    </a:extLst>
                  </pic:spPr>
                </pic:pic>
              </a:graphicData>
            </a:graphic>
          </wp:inline>
        </w:drawing>
      </w:r>
    </w:p>
    <w:p w14:paraId="7FBB8B04" w14:textId="16AEACF1" w:rsidR="004271A8" w:rsidRDefault="004271A8" w:rsidP="00D70E29">
      <w:pPr>
        <w:spacing w:after="120" w:line="360" w:lineRule="auto"/>
        <w:ind w:left="567" w:right="1047"/>
        <w:rPr>
          <w:rFonts w:ascii="Amazone Camingo Office" w:hAnsi="Amazone Camingo Office" w:cs="Arial"/>
          <w:bCs/>
        </w:rPr>
      </w:pPr>
      <w:r>
        <w:rPr>
          <w:rFonts w:ascii="Amazone Camingo Office" w:hAnsi="Amazone Camingo Office"/>
        </w:rPr>
        <w:t>Las robustas células de pesaje garantizan una indicación precisa del nivel de llenado y permiten una sencilla calibración de la cantidad sin necesidad de pesar manualmente.</w:t>
      </w:r>
    </w:p>
    <w:p w14:paraId="2E436597" w14:textId="5EC4E06C" w:rsidR="004271A8" w:rsidRPr="004271A8" w:rsidRDefault="00D70E29" w:rsidP="004271A8">
      <w:pPr>
        <w:spacing w:after="120" w:line="360" w:lineRule="auto"/>
        <w:ind w:left="567" w:right="1695"/>
        <w:rPr>
          <w:rFonts w:ascii="Amazone Camingo Office" w:hAnsi="Amazone Camingo Office" w:cs="Arial"/>
          <w:bCs/>
        </w:rPr>
      </w:pPr>
      <w:r>
        <w:rPr>
          <w:rFonts w:ascii="Amazone Camingo Office" w:hAnsi="Amazone Camingo Office" w:cs="Arial"/>
          <w:i/>
          <w:iCs/>
          <w:noProof/>
          <w:color w:val="FF0000"/>
        </w:rPr>
        <w:lastRenderedPageBreak/>
        <w:drawing>
          <wp:inline distT="0" distB="0" distL="0" distR="0" wp14:anchorId="41E277AF" wp14:editId="39960531">
            <wp:extent cx="5029200" cy="3356293"/>
            <wp:effectExtent l="0" t="0" r="0" b="0"/>
            <wp:docPr id="1892508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9200" cy="3356293"/>
                    </a:xfrm>
                    <a:prstGeom prst="rect">
                      <a:avLst/>
                    </a:prstGeom>
                    <a:noFill/>
                    <a:ln>
                      <a:noFill/>
                    </a:ln>
                  </pic:spPr>
                </pic:pic>
              </a:graphicData>
            </a:graphic>
          </wp:inline>
        </w:drawing>
      </w:r>
      <w:r w:rsidR="004271A8">
        <w:rPr>
          <w:rFonts w:ascii="Amazone Camingo Office" w:hAnsi="Amazone Camingo Office"/>
        </w:rPr>
        <w:t xml:space="preserve">Ahora, los nuevos sistemas de transmisión permiten también la regulación automática de la cantidad FlowControl, lo que garantiza una aplicación precisa de cal, incluso cuando las propiedades del material de esparcimiento varían. </w:t>
      </w:r>
    </w:p>
    <w:p w14:paraId="22CC0134" w14:textId="55665AE4" w:rsidR="00D70E29" w:rsidRDefault="00D70E29">
      <w:pPr>
        <w:rPr>
          <w:rFonts w:ascii="Amazone Camingo Office" w:hAnsi="Amazone Camingo Office" w:cs="Arial"/>
          <w:bCs/>
        </w:rPr>
      </w:pPr>
      <w:r>
        <w:rPr>
          <w:rFonts w:ascii="Amazone Camingo Office" w:hAnsi="Amazone Camingo Office" w:cs="Arial"/>
          <w:bCs/>
        </w:rPr>
        <w:br w:type="page"/>
      </w:r>
    </w:p>
    <w:p w14:paraId="0756E9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2C525DFE"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6EEC9AAF"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Acerca de AMAZONE</w:t>
      </w:r>
    </w:p>
    <w:p w14:paraId="05F71B5F" w14:textId="7BEE2CFA"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Co. KG, con sede en Hasbergen-Gaste, C. P. 49205, fabrica máquinas agrícolas y máquinas municipales. La empresa, gestionada por sus propietarios, cuenta con cerca de 2700 empleados distribuidos entre 8 plantas de producción, el Global Parts Center, el Global Machinery Center y 11 sucursales de ventas. La gama de maquinaria agrícola incluye tratamiento del suelo, sembradoras, abonadoras, equipos de protección de cultivos y tecnología de azada. Basándose en estas competencias clave, AMAZONE es hoy el especialista agrícola en “producción de cultivos inteligente”. AMAZONE también ofrece máquinas municipales versátiles para el mantenimiento de parques y superficies verdes, así como para el servicio de invierno. Más información: </w:t>
      </w:r>
      <w:hyperlink r:id="rId11" w:history="1">
        <w:r w:rsidR="00D70E29" w:rsidRPr="00CF7B2D">
          <w:rPr>
            <w:rStyle w:val="Hyperlink"/>
            <w:rFonts w:ascii="Amazone Camingo Office" w:hAnsi="Amazone Camingo Office"/>
            <w:sz w:val="20"/>
          </w:rPr>
          <w:t>www.amazone.net</w:t>
        </w:r>
      </w:hyperlink>
    </w:p>
    <w:p w14:paraId="73E1BF49"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Una imagen que contiene un símbolo.&#10;&#10;Los contenidos generados por IA pueden contener errore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Una imagen que contiene un círculo y un diseño.&#10;&#10;Los contenidos generados por IA pueden contener errores.">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Una imagen que contiene un círculo y un diseño.&#10;&#10;Los contenidos generados por IA pueden contener errores.">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Una imagen que contiene un símbolo y un círculo.&#10;&#10;Los contenidos generados por IA pueden contener errores.">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Una imagen que contiene texto, un símbolo y un diseño.&#10;&#10;Los contenidos generados por IA pueden contener errores.">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36744111"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CD24A" w14:textId="77777777" w:rsidR="009A4D47" w:rsidRDefault="009A4D47">
      <w:r>
        <w:separator/>
      </w:r>
    </w:p>
  </w:endnote>
  <w:endnote w:type="continuationSeparator" w:id="0">
    <w:p w14:paraId="2CE23C61" w14:textId="77777777" w:rsidR="009A4D47" w:rsidRDefault="009A4D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532C75A5-3F53-42BA-921D-1FA9885712BD}"/>
  </w:font>
  <w:font w:name="Calibri">
    <w:panose1 w:val="020F0502020204030204"/>
    <w:charset w:val="00"/>
    <w:family w:val="swiss"/>
    <w:pitch w:val="variable"/>
    <w:sig w:usb0="E4002EFF" w:usb1="C200247B" w:usb2="00000009" w:usb3="00000000" w:csb0="000001FF" w:csb1="00000000"/>
    <w:embedRegular r:id="rId2" w:fontKey="{EE6378C9-0E4E-4D3B-B19D-5E572A78D7BC}"/>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6058B507-A8B5-4994-8C80-C5E25F08F9A6}"/>
  </w:font>
  <w:font w:name="Amazone Camingo Office">
    <w:panose1 w:val="020B0506040302020203"/>
    <w:charset w:val="00"/>
    <w:family w:val="swiss"/>
    <w:pitch w:val="variable"/>
    <w:sig w:usb0="A00002FF" w:usb1="0000207B" w:usb2="00000000" w:usb3="00000000" w:csb0="00000097" w:csb1="00000000"/>
    <w:embedRegular r:id="rId4" w:fontKey="{5FABAA3E-2E51-4A7A-95BC-326014AFB3B2}"/>
    <w:embedBold r:id="rId5" w:fontKey="{9D5FE113-BBBB-4A11-BE5A-66AD8F84C16C}"/>
    <w:embedItalic r:id="rId6" w:fontKey="{047B2B65-3041-45C0-B2F5-F6F2C3D1A053}"/>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78B6B8CE-CB6C-4EFD-99B0-19E59F29E71F}"/>
  </w:font>
  <w:font w:name="Cambria">
    <w:panose1 w:val="02040503050406030204"/>
    <w:charset w:val="00"/>
    <w:family w:val="roman"/>
    <w:pitch w:val="variable"/>
    <w:sig w:usb0="E00006FF" w:usb1="420024FF" w:usb2="02000000" w:usb3="00000000" w:csb0="0000019F" w:csb1="00000000"/>
    <w:embedRegular r:id="rId8" w:fontKey="{003CA3E0-FC34-4F61-9DDA-70EA9763E3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227DD"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Página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de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57141DC" w14:textId="77777777" w:rsidR="005E0980" w:rsidRPr="00F23F25" w:rsidRDefault="005E0980" w:rsidP="006F7755">
                    <w:pPr>
                      <w:ind w:right="57"/>
                      <w:jc w:val="right"/>
                      <w:rPr>
                        <w:sz w:val="20"/>
                        <w:rFonts w:ascii="Amazone Camingo Office" w:hAnsi="Amazone Camingo Office"/>
                      </w:rPr>
                    </w:pPr>
                    <w:r>
                      <w:rPr>
                        <w:sz w:val="20"/>
                        <w:rFonts w:ascii="Amazone Camingo Office" w:hAnsi="Amazone Camingo Office"/>
                      </w:rPr>
                      <w:t xml:space="preserve">Página </w:t>
                    </w:r>
                    <w:r w:rsidRPr="00F23F25">
                      <w:rPr>
                        <w:sz w:val="20"/>
                        <w:rFonts w:ascii="Amazone Camingo Office" w:hAnsi="Amazone Camingo Office"/>
                      </w:rPr>
                      <w:fldChar w:fldCharType="begin"/>
                    </w:r>
                    <w:r w:rsidRPr="00F23F25">
                      <w:rPr>
                        <w:sz w:val="20"/>
                        <w:rFonts w:ascii="Amazone Camingo Office" w:hAnsi="Amazone Camingo Office"/>
                      </w:rPr>
                      <w:instrText xml:space="preserve"> PAGE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r>
                      <w:rPr>
                        <w:sz w:val="20"/>
                        <w:rFonts w:ascii="Amazone Camingo Office" w:hAnsi="Amazone Camingo Office"/>
                      </w:rPr>
                      <w:t xml:space="preserve"> de </w:t>
                    </w:r>
                    <w:r w:rsidRPr="00F23F25">
                      <w:rPr>
                        <w:sz w:val="20"/>
                        <w:rFonts w:ascii="Amazone Camingo Office" w:hAnsi="Amazone Camingo Office"/>
                      </w:rPr>
                      <w:fldChar w:fldCharType="begin" w:dirty="true"/>
                    </w:r>
                    <w:r w:rsidRPr="00F23F25">
                      <w:rPr>
                        <w:sz w:val="20"/>
                        <w:rFonts w:ascii="Amazone Camingo Office" w:hAnsi="Amazone Camingo Office"/>
                      </w:rPr>
                      <w:instrText xml:space="preserve"> NUMPAGES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BAD03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6E13C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667EE9A9" w14:textId="03D9120C"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Teléfono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D70E29">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60D8BF"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382A84A"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667EE9A9" w14:textId="03D9120C"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Teléfono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D70E29">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DFB60" w14:textId="77777777" w:rsidR="009A4D47" w:rsidRDefault="009A4D47">
      <w:r>
        <w:separator/>
      </w:r>
    </w:p>
  </w:footnote>
  <w:footnote w:type="continuationSeparator" w:id="0">
    <w:p w14:paraId="1E80DBEB" w14:textId="77777777" w:rsidR="009A4D47" w:rsidRDefault="009A4D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04323"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Nota de prensa julio de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43A1E2D" w14:textId="7F99BA48" w:rsidR="004A4E71" w:rsidRPr="00F23F25" w:rsidRDefault="004A4E71" w:rsidP="004A4E71">
                    <w:pPr>
                      <w:pStyle w:val="StandardWeb"/>
                      <w:spacing w:after="0" w:afterAutospacing="0"/>
                      <w:jc w:val="right"/>
                      <w:rPr>
                        <w:color w:val="FFFFFF" w:themeColor="background1"/>
                        <w:rFonts w:ascii="Amazone Camingo Office" w:hAnsi="Amazone Camingo Office"/>
                      </w:rPr>
                    </w:pPr>
                    <w:r>
                      <w:rPr>
                        <w:color w:val="FFFFFF" w:themeColor="background1"/>
                        <w:sz w:val="28"/>
                        <w:rFonts w:ascii="Amazone Camingo Office" w:hAnsi="Amazone Camingo Office"/>
                      </w:rPr>
                      <w:t xml:space="preserve">Nota de prensa julio de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DD8EB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32392A2"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1F4D25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F9C"/>
    <w:rsid w:val="000008BF"/>
    <w:rsid w:val="0000280B"/>
    <w:rsid w:val="00003E4F"/>
    <w:rsid w:val="000047C6"/>
    <w:rsid w:val="000055DA"/>
    <w:rsid w:val="0000569A"/>
    <w:rsid w:val="00005750"/>
    <w:rsid w:val="000057B1"/>
    <w:rsid w:val="00005A76"/>
    <w:rsid w:val="00006782"/>
    <w:rsid w:val="00010C9A"/>
    <w:rsid w:val="00013C90"/>
    <w:rsid w:val="000148C6"/>
    <w:rsid w:val="00020A73"/>
    <w:rsid w:val="0002199A"/>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2A2"/>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861E4"/>
    <w:rsid w:val="0009363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23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40D1"/>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6C0A"/>
    <w:rsid w:val="001C08A4"/>
    <w:rsid w:val="001C1208"/>
    <w:rsid w:val="001C136F"/>
    <w:rsid w:val="001C1376"/>
    <w:rsid w:val="001C241D"/>
    <w:rsid w:val="001C2C16"/>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D1B"/>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1B78"/>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375"/>
    <w:rsid w:val="00265D6C"/>
    <w:rsid w:val="0026750E"/>
    <w:rsid w:val="00270901"/>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B78"/>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E69"/>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3FD9"/>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72E"/>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D38"/>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71A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ACA"/>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25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5A9"/>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A08"/>
    <w:rsid w:val="00523E82"/>
    <w:rsid w:val="00526D75"/>
    <w:rsid w:val="0052709A"/>
    <w:rsid w:val="00527A56"/>
    <w:rsid w:val="00530D82"/>
    <w:rsid w:val="00531F4D"/>
    <w:rsid w:val="00532E2E"/>
    <w:rsid w:val="00533B44"/>
    <w:rsid w:val="00534972"/>
    <w:rsid w:val="00536562"/>
    <w:rsid w:val="00536DA4"/>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78C5"/>
    <w:rsid w:val="00577F08"/>
    <w:rsid w:val="00580534"/>
    <w:rsid w:val="00580557"/>
    <w:rsid w:val="00581AB9"/>
    <w:rsid w:val="005822E8"/>
    <w:rsid w:val="00582445"/>
    <w:rsid w:val="0058265D"/>
    <w:rsid w:val="00582BD3"/>
    <w:rsid w:val="00583562"/>
    <w:rsid w:val="00583933"/>
    <w:rsid w:val="0058582A"/>
    <w:rsid w:val="00586056"/>
    <w:rsid w:val="005866E2"/>
    <w:rsid w:val="00586FC0"/>
    <w:rsid w:val="005874E0"/>
    <w:rsid w:val="00595C48"/>
    <w:rsid w:val="00597574"/>
    <w:rsid w:val="00597ADE"/>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C43"/>
    <w:rsid w:val="005E2376"/>
    <w:rsid w:val="005E62F4"/>
    <w:rsid w:val="005E79F7"/>
    <w:rsid w:val="005F0AE3"/>
    <w:rsid w:val="005F0C40"/>
    <w:rsid w:val="005F12CA"/>
    <w:rsid w:val="005F16D2"/>
    <w:rsid w:val="005F18BD"/>
    <w:rsid w:val="005F71EB"/>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4657"/>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6917"/>
    <w:rsid w:val="006D24A3"/>
    <w:rsid w:val="006D2A85"/>
    <w:rsid w:val="006D2F24"/>
    <w:rsid w:val="006D4215"/>
    <w:rsid w:val="006D5DE3"/>
    <w:rsid w:val="006D6692"/>
    <w:rsid w:val="006E21AA"/>
    <w:rsid w:val="006E33BB"/>
    <w:rsid w:val="006E3615"/>
    <w:rsid w:val="006E4F5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9C"/>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446"/>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4D47"/>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20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5FE"/>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E78B9"/>
    <w:rsid w:val="00AF0C65"/>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97BA9"/>
    <w:rsid w:val="00BA4B47"/>
    <w:rsid w:val="00BA4D0F"/>
    <w:rsid w:val="00BA752F"/>
    <w:rsid w:val="00BA7C6D"/>
    <w:rsid w:val="00BB0614"/>
    <w:rsid w:val="00BB098E"/>
    <w:rsid w:val="00BB33E1"/>
    <w:rsid w:val="00BB52B1"/>
    <w:rsid w:val="00BB694A"/>
    <w:rsid w:val="00BC0CB9"/>
    <w:rsid w:val="00BC314C"/>
    <w:rsid w:val="00BC37A8"/>
    <w:rsid w:val="00BC42DF"/>
    <w:rsid w:val="00BC48BE"/>
    <w:rsid w:val="00BC5A72"/>
    <w:rsid w:val="00BC5E03"/>
    <w:rsid w:val="00BC65EA"/>
    <w:rsid w:val="00BC6DBA"/>
    <w:rsid w:val="00BC70A4"/>
    <w:rsid w:val="00BC7197"/>
    <w:rsid w:val="00BC7244"/>
    <w:rsid w:val="00BD002C"/>
    <w:rsid w:val="00BD02A8"/>
    <w:rsid w:val="00BD04D0"/>
    <w:rsid w:val="00BD1CB0"/>
    <w:rsid w:val="00BD5398"/>
    <w:rsid w:val="00BE075A"/>
    <w:rsid w:val="00BE248A"/>
    <w:rsid w:val="00BE4277"/>
    <w:rsid w:val="00BE6083"/>
    <w:rsid w:val="00BF024B"/>
    <w:rsid w:val="00BF053F"/>
    <w:rsid w:val="00BF0BE2"/>
    <w:rsid w:val="00BF2C99"/>
    <w:rsid w:val="00BF3159"/>
    <w:rsid w:val="00BF461F"/>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223"/>
    <w:rsid w:val="00D24F19"/>
    <w:rsid w:val="00D266B0"/>
    <w:rsid w:val="00D27AE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E29"/>
    <w:rsid w:val="00D71C9B"/>
    <w:rsid w:val="00D72F44"/>
    <w:rsid w:val="00D744EF"/>
    <w:rsid w:val="00D8077E"/>
    <w:rsid w:val="00D81F2C"/>
    <w:rsid w:val="00D829C8"/>
    <w:rsid w:val="00D83715"/>
    <w:rsid w:val="00D83CEC"/>
    <w:rsid w:val="00D83DCE"/>
    <w:rsid w:val="00D84C86"/>
    <w:rsid w:val="00D85976"/>
    <w:rsid w:val="00D85CDD"/>
    <w:rsid w:val="00D86892"/>
    <w:rsid w:val="00D87BC3"/>
    <w:rsid w:val="00D909EB"/>
    <w:rsid w:val="00D90D6B"/>
    <w:rsid w:val="00D93ED6"/>
    <w:rsid w:val="00D96DA7"/>
    <w:rsid w:val="00D970DE"/>
    <w:rsid w:val="00D97B95"/>
    <w:rsid w:val="00DA0B36"/>
    <w:rsid w:val="00DA315C"/>
    <w:rsid w:val="00DA7C37"/>
    <w:rsid w:val="00DB096A"/>
    <w:rsid w:val="00DB0C78"/>
    <w:rsid w:val="00DB0DE0"/>
    <w:rsid w:val="00DB62AD"/>
    <w:rsid w:val="00DB7084"/>
    <w:rsid w:val="00DB79E1"/>
    <w:rsid w:val="00DB7CD1"/>
    <w:rsid w:val="00DC0D9B"/>
    <w:rsid w:val="00DC25ED"/>
    <w:rsid w:val="00DC29C3"/>
    <w:rsid w:val="00DC31C3"/>
    <w:rsid w:val="00DC3B01"/>
    <w:rsid w:val="00DC4412"/>
    <w:rsid w:val="00DC53E0"/>
    <w:rsid w:val="00DC5EE7"/>
    <w:rsid w:val="00DC736D"/>
    <w:rsid w:val="00DD002B"/>
    <w:rsid w:val="00DD0A86"/>
    <w:rsid w:val="00DD366B"/>
    <w:rsid w:val="00DD394E"/>
    <w:rsid w:val="00DD430B"/>
    <w:rsid w:val="00DD482B"/>
    <w:rsid w:val="00DD6BE1"/>
    <w:rsid w:val="00DD7415"/>
    <w:rsid w:val="00DD7B4E"/>
    <w:rsid w:val="00DD7E7A"/>
    <w:rsid w:val="00DE1111"/>
    <w:rsid w:val="00DE1C65"/>
    <w:rsid w:val="00DE3D21"/>
    <w:rsid w:val="00DE694E"/>
    <w:rsid w:val="00DF0755"/>
    <w:rsid w:val="00DF202A"/>
    <w:rsid w:val="00DF2331"/>
    <w:rsid w:val="00DF3757"/>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19F0"/>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7CC"/>
    <w:rsid w:val="00F17918"/>
    <w:rsid w:val="00F214BC"/>
    <w:rsid w:val="00F23D17"/>
    <w:rsid w:val="00F23F25"/>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9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75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BD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B66B390"/>
  <w15:docId w15:val="{DA0E89C4-F2C5-486D-80B8-F9E5AE8C4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70E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5</Pages>
  <Words>836</Words>
  <Characters>4528</Characters>
  <Application>Microsoft Office Word</Application>
  <DocSecurity>0</DocSecurity>
  <Lines>79</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5341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7</cp:revision>
  <cp:lastPrinted>2010-02-24T09:10:00Z</cp:lastPrinted>
  <dcterms:created xsi:type="dcterms:W3CDTF">2026-06-25T08:44:00Z</dcterms:created>
  <dcterms:modified xsi:type="dcterms:W3CDTF">2026-07-23T13:19:00Z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